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737D09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>3-2 Question of the Day:  Tad is 13 years old.  His brother Jake is 4 years younger.  How old is Jake?  Have the students figure out any way they can and share their answers.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0020F1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737D09">
              <w:rPr>
                <w:rFonts w:ascii="Optima" w:hAnsi="Optima"/>
              </w:rPr>
              <w:t xml:space="preserve">  Use</w:t>
            </w:r>
            <w:r w:rsidR="000020F1">
              <w:rPr>
                <w:rFonts w:ascii="Optima" w:hAnsi="Optima"/>
              </w:rPr>
              <w:t xml:space="preserve"> t</w:t>
            </w:r>
            <w:r w:rsidR="00737D09">
              <w:rPr>
                <w:rFonts w:ascii="Optima" w:hAnsi="Optima"/>
              </w:rPr>
              <w:t>he Frayer Model found on the wiki page.</w:t>
            </w:r>
          </w:p>
          <w:p w:rsidR="00E54930" w:rsidRPr="00E54930" w:rsidRDefault="000020F1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the students write the word as seen on the Math Word Wall </w:t>
            </w:r>
            <w:r w:rsidRPr="000020F1">
              <w:rPr>
                <w:rFonts w:ascii="Optima" w:hAnsi="Optima"/>
              </w:rPr>
              <w:t xml:space="preserve">– </w:t>
            </w:r>
            <w:r w:rsidRPr="000020F1">
              <w:rPr>
                <w:rFonts w:ascii="Optima" w:hAnsi="Optima"/>
                <w:b/>
                <w:sz w:val="28"/>
                <w:u w:val="single"/>
              </w:rPr>
              <w:t>difference</w:t>
            </w:r>
            <w:r>
              <w:rPr>
                <w:rFonts w:ascii="Optima" w:hAnsi="Optima"/>
              </w:rPr>
              <w:t xml:space="preserve"> in the center of the chart.  Have the children write the definition in their own words. (It should be close to the answer when subtracting 2 numbers.)  Have the boys and girls give an example showing both a math sentence and an illustration of that number fact.  Next, have the students give a similar “non” example.</w:t>
            </w:r>
          </w:p>
          <w:p w:rsidR="00737D09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922C2A">
              <w:rPr>
                <w:rFonts w:ascii="Optima" w:hAnsi="Optima"/>
              </w:rPr>
              <w:t xml:space="preserve"> Using the word </w:t>
            </w:r>
            <w:r w:rsidR="00737D09">
              <w:rPr>
                <w:rFonts w:ascii="Optima" w:hAnsi="Optima"/>
              </w:rPr>
              <w:t xml:space="preserve">“difference” </w:t>
            </w:r>
            <w:r w:rsidR="00922C2A">
              <w:rPr>
                <w:rFonts w:ascii="Optima" w:hAnsi="Optima"/>
              </w:rPr>
              <w:t>through demonstration and having t</w:t>
            </w:r>
            <w:r w:rsidR="00737D09">
              <w:rPr>
                <w:rFonts w:ascii="Optima" w:hAnsi="Optima"/>
              </w:rPr>
              <w:t>he children also incorporate the</w:t>
            </w:r>
            <w:r w:rsidR="00922C2A">
              <w:rPr>
                <w:rFonts w:ascii="Optima" w:hAnsi="Optima"/>
              </w:rPr>
              <w:t xml:space="preserve"> </w:t>
            </w:r>
          </w:p>
          <w:p w:rsidR="00DC5AC7" w:rsidRPr="00E54930" w:rsidRDefault="00922C2A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word in their dialogue by</w:t>
            </w:r>
            <w:r w:rsidR="000020F1">
              <w:rPr>
                <w:rFonts w:ascii="Optima" w:hAnsi="Optima"/>
              </w:rPr>
              <w:t xml:space="preserve"> matching the word to the definition, writing the word. etc.</w:t>
            </w:r>
            <w:r w:rsidR="00737D09">
              <w:rPr>
                <w:rFonts w:ascii="Optima" w:hAnsi="Optima"/>
              </w:rPr>
              <w:t xml:space="preserve">  Also have each student explain their worksheet to their partner.</w:t>
            </w:r>
          </w:p>
          <w:p w:rsidR="00DC5AC7" w:rsidRDefault="00737D09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AD6A75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Pass out a Hundreds Chart to each student. </w:t>
            </w:r>
            <w:r w:rsidR="00922C2A">
              <w:rPr>
                <w:rFonts w:ascii="Optima" w:hAnsi="Optima"/>
              </w:rPr>
              <w:t xml:space="preserve">  Using your doc camera or your computer manipulatives in this math program, illustrate</w:t>
            </w:r>
            <w:r>
              <w:rPr>
                <w:rFonts w:ascii="Optima" w:hAnsi="Optima"/>
              </w:rPr>
              <w:t xml:space="preserve"> how to use a Hundreds Chart showing that it’s opposite of addition. 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AD6A75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.</w:t>
            </w:r>
          </w:p>
          <w:p w:rsidR="00DC5AC7" w:rsidRPr="00CD2BD0" w:rsidRDefault="00AD6A75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students work in partners </w:t>
            </w:r>
            <w:r w:rsidR="00737D09">
              <w:rPr>
                <w:rFonts w:ascii="Optima" w:hAnsi="Optima"/>
              </w:rPr>
              <w:t>solving various subtraction problems using the Hundreds Chart.  Have</w:t>
            </w:r>
            <w:r>
              <w:rPr>
                <w:rFonts w:ascii="Optima" w:hAnsi="Optima"/>
              </w:rPr>
              <w:t xml:space="preserve"> then come up to demonstrate their understanding.</w:t>
            </w:r>
            <w:r w:rsidR="00737D09">
              <w:rPr>
                <w:rFonts w:ascii="Optima" w:hAnsi="Optima"/>
              </w:rPr>
              <w:t xml:space="preserve"> Glue Chart in Math Journal to be used as needed.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737D09" w:rsidRDefault="00737D09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Display on doc camera using Distance Riddles T-45.  Cover up riddles 2, 3, and 4.  Give students a few minutes to solve the riddles, then display the chart (on T-6).  Continue having the boys and girls solve the rest of the riddles.  Share answers.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737D09">
              <w:rPr>
                <w:rFonts w:ascii="Optima" w:hAnsi="Optima"/>
                <w:b/>
                <w:sz w:val="32"/>
              </w:rPr>
              <w:t xml:space="preserve">  Have each student come up with their own riddle and have their partner solve.  Share with the class.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</w:t>
            </w:r>
            <w:r w:rsidR="00737D09">
              <w:rPr>
                <w:rFonts w:ascii="Optima" w:hAnsi="Optima"/>
                <w:b/>
                <w:color w:val="3366FF"/>
                <w:sz w:val="32"/>
              </w:rPr>
              <w:t>Center Activity 3-2 on level and advanced.  Those students needing intervention will meet with the teacher to work on subtracting with cubes on the Hundred Chart.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 w:rsidR="00737D09">
              <w:rPr>
                <w:rFonts w:ascii="Optima" w:hAnsi="Optima"/>
                <w:b/>
                <w:color w:val="3366FF"/>
                <w:sz w:val="32"/>
              </w:rPr>
              <w:t>Depending on the level of understanding pass out the Reteaching Master, The Practice Master, and the Enrichment Master.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0F1" w:rsidRDefault="000020F1">
      <w:r>
        <w:separator/>
      </w:r>
    </w:p>
  </w:endnote>
  <w:endnote w:type="continuationSeparator" w:id="0">
    <w:p w:rsidR="000020F1" w:rsidRDefault="00002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0F1" w:rsidRDefault="00AC107C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0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0F1" w:rsidRDefault="000020F1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0F1" w:rsidRPr="000C7C3D" w:rsidRDefault="00AC107C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0F1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A1D2C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0F1" w:rsidRDefault="000020F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0F1" w:rsidRPr="005713AA" w:rsidRDefault="000020F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0F1" w:rsidRDefault="000020F1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0F1" w:rsidRDefault="000020F1">
      <w:r>
        <w:separator/>
      </w:r>
    </w:p>
  </w:footnote>
  <w:footnote w:type="continuationSeparator" w:id="0">
    <w:p w:rsidR="000020F1" w:rsidRDefault="000020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0F1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13003"/>
    <w:rsid w:val="003A1D2C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37D09"/>
    <w:rsid w:val="0077001D"/>
    <w:rsid w:val="007729B6"/>
    <w:rsid w:val="0078589F"/>
    <w:rsid w:val="00922C2A"/>
    <w:rsid w:val="009236F5"/>
    <w:rsid w:val="009877DA"/>
    <w:rsid w:val="009942A2"/>
    <w:rsid w:val="00A15DDA"/>
    <w:rsid w:val="00A53859"/>
    <w:rsid w:val="00A63885"/>
    <w:rsid w:val="00A77D41"/>
    <w:rsid w:val="00A92480"/>
    <w:rsid w:val="00AC107C"/>
    <w:rsid w:val="00AD6A75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CD6735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3321</Characters>
  <Application>Microsoft Macintosh Word</Application>
  <DocSecurity>0</DocSecurity>
  <Lines>27</Lines>
  <Paragraphs>7</Paragraphs>
  <ScaleCrop>false</ScaleCrop>
  <Company>Canyons School District</Company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2011-08-11T17:26:00Z</dcterms:created>
  <dcterms:modified xsi:type="dcterms:W3CDTF">2011-08-11T17:26:00Z</dcterms:modified>
</cp:coreProperties>
</file>